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B232" w14:textId="77777777" w:rsidR="00A622D4" w:rsidRDefault="00A622D4" w:rsidP="00E869EC">
      <w:pPr>
        <w:jc w:val="center"/>
        <w:rPr>
          <w:rFonts w:ascii="Calibri" w:eastAsia="Times New Roman" w:hAnsi="Calibri" w:cs="Calibri"/>
          <w:b/>
          <w:bCs/>
          <w:color w:val="000000"/>
          <w:sz w:val="56"/>
          <w:szCs w:val="56"/>
          <w:lang w:eastAsia="en-GB"/>
        </w:rPr>
      </w:pPr>
    </w:p>
    <w:p w14:paraId="11AE30CB" w14:textId="0591223A" w:rsidR="00E869EC" w:rsidRPr="00E869EC" w:rsidRDefault="00E869EC" w:rsidP="00E869EC">
      <w:pPr>
        <w:jc w:val="center"/>
        <w:rPr>
          <w:rFonts w:ascii="Times New Roman" w:eastAsia="Times New Roman" w:hAnsi="Times New Roman" w:cs="Times New Roman"/>
          <w:sz w:val="24"/>
          <w:szCs w:val="24"/>
          <w:lang w:eastAsia="en-GB"/>
        </w:rPr>
      </w:pPr>
      <w:r w:rsidRPr="00E869EC">
        <w:rPr>
          <w:rFonts w:ascii="Calibri" w:eastAsia="Times New Roman" w:hAnsi="Calibri" w:cs="Calibri"/>
          <w:b/>
          <w:bCs/>
          <w:color w:val="000000"/>
          <w:sz w:val="56"/>
          <w:szCs w:val="56"/>
          <w:lang w:eastAsia="en-GB"/>
        </w:rPr>
        <w:t>Tring Lawn Tennis Club</w:t>
      </w:r>
    </w:p>
    <w:p w14:paraId="629283AE" w14:textId="7E994862" w:rsidR="00E869EC" w:rsidRPr="00E869EC" w:rsidRDefault="00E869EC" w:rsidP="00E869EC">
      <w:pPr>
        <w:jc w:val="center"/>
        <w:rPr>
          <w:rFonts w:ascii="Times New Roman" w:eastAsia="Times New Roman" w:hAnsi="Times New Roman" w:cs="Times New Roman"/>
          <w:sz w:val="24"/>
          <w:szCs w:val="24"/>
          <w:lang w:eastAsia="en-GB"/>
        </w:rPr>
      </w:pPr>
      <w:r w:rsidRPr="00E869EC">
        <w:rPr>
          <w:rFonts w:ascii="Calibri" w:eastAsia="Times New Roman" w:hAnsi="Calibri" w:cs="Calibri"/>
          <w:b/>
          <w:bCs/>
          <w:color w:val="000000"/>
          <w:sz w:val="36"/>
          <w:szCs w:val="36"/>
          <w:lang w:eastAsia="en-GB"/>
        </w:rPr>
        <w:t>Members</w:t>
      </w:r>
      <w:r w:rsidR="005054FA">
        <w:rPr>
          <w:rFonts w:ascii="Calibri" w:eastAsia="Times New Roman" w:hAnsi="Calibri" w:cs="Calibri"/>
          <w:b/>
          <w:bCs/>
          <w:color w:val="000000"/>
          <w:sz w:val="36"/>
          <w:szCs w:val="36"/>
          <w:lang w:eastAsia="en-GB"/>
        </w:rPr>
        <w:t>’</w:t>
      </w:r>
      <w:r w:rsidRPr="00E869EC">
        <w:rPr>
          <w:rFonts w:ascii="Calibri" w:eastAsia="Times New Roman" w:hAnsi="Calibri" w:cs="Calibri"/>
          <w:b/>
          <w:bCs/>
          <w:color w:val="000000"/>
          <w:sz w:val="36"/>
          <w:szCs w:val="36"/>
          <w:lang w:eastAsia="en-GB"/>
        </w:rPr>
        <w:t xml:space="preserve"> Code of Conduct</w:t>
      </w:r>
    </w:p>
    <w:p w14:paraId="29D2A34C"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color w:val="000000"/>
          <w:lang w:eastAsia="en-GB"/>
        </w:rPr>
        <w:t>This is the code of conduct for Tring Lawn Tennis Club (TLTC) to be followed by all members. This is seen by the TLTC committee as good practice for the club and sets out the behaviour expected by all members and visitors to the club.  Members acknowledge and agree to conform to the code of conduct when joining and renewing membership. </w:t>
      </w:r>
    </w:p>
    <w:p w14:paraId="10CF6278"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color w:val="000000"/>
          <w:lang w:eastAsia="en-GB"/>
        </w:rPr>
        <w:t>The aim of the code of conduct is to:</w:t>
      </w:r>
    </w:p>
    <w:p w14:paraId="7F01507C"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color w:val="000000"/>
          <w:lang w:eastAsia="en-GB"/>
        </w:rPr>
        <w:t>1. ensure that everyone is treated fairly and with respect;</w:t>
      </w:r>
    </w:p>
    <w:p w14:paraId="70799C68"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color w:val="000000"/>
          <w:lang w:eastAsia="en-GB"/>
        </w:rPr>
        <w:t>2. inform members about the standards of behaviour and etiquette expected so that the right playing environment for individuals and the club is created.</w:t>
      </w:r>
    </w:p>
    <w:p w14:paraId="04722943" w14:textId="77777777" w:rsidR="00E869EC" w:rsidRPr="00E869EC" w:rsidRDefault="00E869EC" w:rsidP="00E869EC">
      <w:pPr>
        <w:spacing w:after="0"/>
        <w:rPr>
          <w:rFonts w:ascii="Times New Roman" w:eastAsia="Times New Roman" w:hAnsi="Times New Roman" w:cs="Times New Roman"/>
          <w:sz w:val="24"/>
          <w:szCs w:val="24"/>
          <w:lang w:eastAsia="en-GB"/>
        </w:rPr>
      </w:pPr>
    </w:p>
    <w:p w14:paraId="2AA59CF9"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b/>
          <w:bCs/>
          <w:color w:val="000000"/>
          <w:lang w:eastAsia="en-GB"/>
        </w:rPr>
        <w:t>TLTC Lawn Tennis Association (LTA) Policies</w:t>
      </w:r>
    </w:p>
    <w:p w14:paraId="2E83C7B0"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color w:val="000000"/>
          <w:lang w:eastAsia="en-GB"/>
        </w:rPr>
        <w:t>All members adhere to TLTC Safeguarding and Diversity Policies </w:t>
      </w:r>
    </w:p>
    <w:p w14:paraId="10906C81"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b/>
          <w:bCs/>
          <w:color w:val="000000"/>
          <w:lang w:eastAsia="en-GB"/>
        </w:rPr>
        <w:t>Behaviour and Etiquette </w:t>
      </w:r>
    </w:p>
    <w:p w14:paraId="0F9F41DF"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color w:val="000000"/>
          <w:lang w:eastAsia="en-GB"/>
        </w:rPr>
        <w:t>All members must treat other members, visitors, coaches and officials with respect. There must be no inappropriate actions, behaviour, comments or physical contact, which may cause offence i.e. mental or physical anxiety or hurt to an individual. </w:t>
      </w:r>
    </w:p>
    <w:p w14:paraId="6BAEB38B"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color w:val="000000"/>
          <w:lang w:eastAsia="en-GB"/>
        </w:rPr>
        <w:t>Inappropriate actions include:</w:t>
      </w:r>
    </w:p>
    <w:p w14:paraId="282AC9CB" w14:textId="77777777" w:rsidR="00E869EC" w:rsidRPr="00E869EC" w:rsidRDefault="00E869EC" w:rsidP="00E869EC">
      <w:pPr>
        <w:numPr>
          <w:ilvl w:val="0"/>
          <w:numId w:val="1"/>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Racquet or equipment throwing;</w:t>
      </w:r>
    </w:p>
    <w:p w14:paraId="0C8C329D" w14:textId="77777777" w:rsidR="00E869EC" w:rsidRPr="00E869EC" w:rsidRDefault="00E869EC" w:rsidP="00E869EC">
      <w:pPr>
        <w:numPr>
          <w:ilvl w:val="0"/>
          <w:numId w:val="1"/>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Swearing;</w:t>
      </w:r>
    </w:p>
    <w:p w14:paraId="797E578C" w14:textId="77777777" w:rsidR="00E869EC" w:rsidRPr="00E869EC" w:rsidRDefault="00E869EC" w:rsidP="00E869EC">
      <w:pPr>
        <w:numPr>
          <w:ilvl w:val="0"/>
          <w:numId w:val="1"/>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Abusive, aggressive, intimidating or violent behaviour;</w:t>
      </w:r>
    </w:p>
    <w:p w14:paraId="7EF17DA2" w14:textId="77777777" w:rsidR="00E869EC" w:rsidRPr="00E869EC" w:rsidRDefault="00E869EC" w:rsidP="00E869EC">
      <w:pPr>
        <w:numPr>
          <w:ilvl w:val="0"/>
          <w:numId w:val="1"/>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Questioning another person’s integrity over line calls or other actions;</w:t>
      </w:r>
    </w:p>
    <w:p w14:paraId="116D9FB9" w14:textId="77777777" w:rsidR="00E869EC" w:rsidRPr="00E869EC" w:rsidRDefault="00E869EC" w:rsidP="00E869EC">
      <w:pPr>
        <w:numPr>
          <w:ilvl w:val="0"/>
          <w:numId w:val="1"/>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Causing danger or harm to other players through your play.</w:t>
      </w:r>
    </w:p>
    <w:p w14:paraId="35953707"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b/>
          <w:bCs/>
          <w:color w:val="000000"/>
          <w:lang w:eastAsia="en-GB"/>
        </w:rPr>
        <w:t>Respect and courtesy</w:t>
      </w:r>
    </w:p>
    <w:p w14:paraId="386CD193" w14:textId="77777777" w:rsidR="00E869EC" w:rsidRPr="00E869EC" w:rsidRDefault="00E869EC" w:rsidP="00E869EC">
      <w:pPr>
        <w:numPr>
          <w:ilvl w:val="0"/>
          <w:numId w:val="2"/>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Opponents, partners, and others on or near the courts should always be shown respect and consideration.</w:t>
      </w:r>
    </w:p>
    <w:p w14:paraId="41B0B990" w14:textId="77777777" w:rsidR="00E869EC" w:rsidRPr="00E869EC" w:rsidRDefault="00E869EC" w:rsidP="00E869EC">
      <w:pPr>
        <w:numPr>
          <w:ilvl w:val="0"/>
          <w:numId w:val="2"/>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Criticism of partners’ or opponents’ play should be avoided. Encouragement is far more constructive.</w:t>
      </w:r>
    </w:p>
    <w:p w14:paraId="33CB95E4" w14:textId="77777777" w:rsidR="00E869EC" w:rsidRPr="00E869EC" w:rsidRDefault="00E869EC" w:rsidP="00E869EC">
      <w:pPr>
        <w:numPr>
          <w:ilvl w:val="0"/>
          <w:numId w:val="2"/>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Members must not walk behind players whilst a game or a rally is in progress.</w:t>
      </w:r>
    </w:p>
    <w:p w14:paraId="244217BC"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b/>
          <w:bCs/>
          <w:color w:val="000000"/>
          <w:lang w:eastAsia="en-GB"/>
        </w:rPr>
        <w:t>Walking onto or behind courts</w:t>
      </w:r>
    </w:p>
    <w:p w14:paraId="16953ADA" w14:textId="1E5A3CCA" w:rsidR="00E869EC" w:rsidRPr="002F1914" w:rsidRDefault="00E869EC" w:rsidP="00E869EC">
      <w:pPr>
        <w:numPr>
          <w:ilvl w:val="0"/>
          <w:numId w:val="3"/>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Members should wait for players to finish a point, before walking onto a court where play is taking place.</w:t>
      </w:r>
    </w:p>
    <w:p w14:paraId="758D1BC0" w14:textId="2AE91D00" w:rsidR="002F1914" w:rsidRPr="00E869EC" w:rsidRDefault="002F1914" w:rsidP="002F1914">
      <w:pPr>
        <w:numPr>
          <w:ilvl w:val="0"/>
          <w:numId w:val="3"/>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lastRenderedPageBreak/>
        <w:t xml:space="preserve">Members should wait for players to finish a point, before walking </w:t>
      </w:r>
      <w:r>
        <w:rPr>
          <w:rFonts w:ascii="Calibri" w:eastAsia="Times New Roman" w:hAnsi="Calibri" w:cs="Calibri"/>
          <w:color w:val="000000"/>
          <w:lang w:eastAsia="en-GB"/>
        </w:rPr>
        <w:t>behind</w:t>
      </w:r>
      <w:r w:rsidRPr="00E869EC">
        <w:rPr>
          <w:rFonts w:ascii="Calibri" w:eastAsia="Times New Roman" w:hAnsi="Calibri" w:cs="Calibri"/>
          <w:color w:val="000000"/>
          <w:lang w:eastAsia="en-GB"/>
        </w:rPr>
        <w:t xml:space="preserve"> a court where play is taking place.</w:t>
      </w:r>
    </w:p>
    <w:p w14:paraId="75FF6F78" w14:textId="77777777" w:rsidR="00E869EC" w:rsidRPr="00E869EC" w:rsidRDefault="00E869EC" w:rsidP="00E869EC">
      <w:pPr>
        <w:numPr>
          <w:ilvl w:val="0"/>
          <w:numId w:val="3"/>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When crossing a court to reach another court or leave the courts, players should wait until there is a suitable gap in play and then, with players consent,  cross as quickly as possible.</w:t>
      </w:r>
    </w:p>
    <w:p w14:paraId="63644A39" w14:textId="77777777" w:rsidR="00E869EC" w:rsidRPr="00E869EC" w:rsidRDefault="00E869EC" w:rsidP="00E869EC">
      <w:pPr>
        <w:numPr>
          <w:ilvl w:val="0"/>
          <w:numId w:val="3"/>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If a stray ball comes onto a court, before returning it, players must wait until the owners are ready and then hit it to the server’s end.</w:t>
      </w:r>
    </w:p>
    <w:p w14:paraId="198061D3"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b/>
          <w:bCs/>
          <w:color w:val="000000"/>
          <w:lang w:eastAsia="en-GB"/>
        </w:rPr>
        <w:t>Line calls </w:t>
      </w:r>
    </w:p>
    <w:p w14:paraId="6D358B74" w14:textId="77777777" w:rsidR="00E869EC" w:rsidRPr="00E869EC" w:rsidRDefault="00E869EC" w:rsidP="00E869EC">
      <w:pPr>
        <w:numPr>
          <w:ilvl w:val="0"/>
          <w:numId w:val="4"/>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Lines calls can sometimes be a problem.</w:t>
      </w:r>
    </w:p>
    <w:p w14:paraId="3A33DCFF" w14:textId="77777777" w:rsidR="00E869EC" w:rsidRPr="00E869EC" w:rsidRDefault="00E869EC" w:rsidP="00E869EC">
      <w:pPr>
        <w:numPr>
          <w:ilvl w:val="0"/>
          <w:numId w:val="4"/>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Only call the lines on your side of the net.</w:t>
      </w:r>
    </w:p>
    <w:p w14:paraId="72B20637" w14:textId="77777777" w:rsidR="00E869EC" w:rsidRPr="00E869EC" w:rsidRDefault="00E869EC" w:rsidP="00E869EC">
      <w:pPr>
        <w:numPr>
          <w:ilvl w:val="0"/>
          <w:numId w:val="4"/>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Call clearly, immediately and firmly what you see and what you honestly believe to be correct.</w:t>
      </w:r>
    </w:p>
    <w:p w14:paraId="32A5552E" w14:textId="77777777" w:rsidR="00E869EC" w:rsidRPr="00E869EC" w:rsidRDefault="00E869EC" w:rsidP="00E869EC">
      <w:pPr>
        <w:numPr>
          <w:ilvl w:val="0"/>
          <w:numId w:val="4"/>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If a player is not absolutely certain or didn’t see the ball clearly, the ball was IN and must be given in the opponents favour. When a player genuinely doubts an opponent’s call, the player may ask: “Are you sure of your call?” If the opponent reaffirms that the ball was out, the call shall be accepted. If the opponent acknowledges uncertainty, the opponent loses the point. There shall be no further delay or discussion. Ultimately those players on the side of any disputed call have the final say.</w:t>
      </w:r>
    </w:p>
    <w:p w14:paraId="0BC1A074" w14:textId="77777777" w:rsidR="00E869EC" w:rsidRPr="00E869EC" w:rsidRDefault="00E869EC" w:rsidP="00E869EC">
      <w:pPr>
        <w:numPr>
          <w:ilvl w:val="0"/>
          <w:numId w:val="4"/>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However, if in social friendly matches there is some doubt over a line call, it is polite to offer to play the point again rather than cause undue aggravation and time wasting.</w:t>
      </w:r>
    </w:p>
    <w:p w14:paraId="1E353458"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b/>
          <w:bCs/>
          <w:color w:val="000000"/>
          <w:lang w:eastAsia="en-GB"/>
        </w:rPr>
        <w:t>Mobile Devices</w:t>
      </w:r>
    </w:p>
    <w:p w14:paraId="7A25E244" w14:textId="77777777" w:rsidR="00E869EC" w:rsidRPr="00E869EC" w:rsidRDefault="00E869EC" w:rsidP="00E869EC">
      <w:pPr>
        <w:numPr>
          <w:ilvl w:val="0"/>
          <w:numId w:val="5"/>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All mobiles phones and other communication devices should be switched off or set to silent mode as these can disrupt play.</w:t>
      </w:r>
    </w:p>
    <w:p w14:paraId="1A6643CA"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b/>
          <w:bCs/>
          <w:color w:val="000000"/>
          <w:lang w:eastAsia="en-GB"/>
        </w:rPr>
        <w:t>Equipment</w:t>
      </w:r>
    </w:p>
    <w:p w14:paraId="6043643D" w14:textId="77777777" w:rsidR="00E869EC" w:rsidRPr="00E869EC" w:rsidRDefault="00E869EC" w:rsidP="00E869EC">
      <w:pPr>
        <w:numPr>
          <w:ilvl w:val="0"/>
          <w:numId w:val="6"/>
        </w:numPr>
        <w:textAlignment w:val="baseline"/>
        <w:rPr>
          <w:rFonts w:ascii="Calibri" w:eastAsia="Times New Roman" w:hAnsi="Calibri" w:cs="Calibri"/>
          <w:b/>
          <w:bCs/>
          <w:color w:val="000000"/>
          <w:lang w:eastAsia="en-GB"/>
        </w:rPr>
      </w:pPr>
      <w:r w:rsidRPr="00E869EC">
        <w:rPr>
          <w:rFonts w:ascii="Calibri" w:eastAsia="Times New Roman" w:hAnsi="Calibri" w:cs="Calibri"/>
          <w:color w:val="000000"/>
          <w:lang w:eastAsia="en-GB"/>
        </w:rPr>
        <w:t>Tennis footwear should always be used for play or practice on court</w:t>
      </w:r>
    </w:p>
    <w:p w14:paraId="1469596C"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b/>
          <w:bCs/>
          <w:color w:val="000000"/>
          <w:lang w:eastAsia="en-GB"/>
        </w:rPr>
        <w:t>Court, Clubhouse and Grounds </w:t>
      </w:r>
    </w:p>
    <w:p w14:paraId="114BC731" w14:textId="77777777" w:rsidR="00476194" w:rsidRPr="00476194" w:rsidRDefault="004D52BB" w:rsidP="00E869EC">
      <w:pPr>
        <w:numPr>
          <w:ilvl w:val="0"/>
          <w:numId w:val="7"/>
        </w:numPr>
        <w:textAlignment w:val="baseline"/>
        <w:rPr>
          <w:rFonts w:ascii="Arial" w:eastAsia="Times New Roman" w:hAnsi="Arial" w:cs="Arial"/>
          <w:color w:val="000000"/>
          <w:sz w:val="20"/>
          <w:szCs w:val="20"/>
          <w:lang w:eastAsia="en-GB"/>
        </w:rPr>
      </w:pPr>
      <w:r>
        <w:rPr>
          <w:rFonts w:ascii="Calibri" w:eastAsia="Times New Roman" w:hAnsi="Calibri" w:cs="Calibri"/>
          <w:color w:val="000000"/>
          <w:lang w:eastAsia="en-GB"/>
        </w:rPr>
        <w:t>Please look after your newly refu</w:t>
      </w:r>
      <w:r w:rsidR="00476194">
        <w:rPr>
          <w:rFonts w:ascii="Calibri" w:eastAsia="Times New Roman" w:hAnsi="Calibri" w:cs="Calibri"/>
          <w:color w:val="000000"/>
          <w:lang w:eastAsia="en-GB"/>
        </w:rPr>
        <w:t>rbished clubhouse.  We hope that it will add to your positive experience of being a Tring Tennis Club member.</w:t>
      </w:r>
    </w:p>
    <w:p w14:paraId="612618C3" w14:textId="77777777" w:rsidR="00476194" w:rsidRPr="00214F2B" w:rsidRDefault="00476194" w:rsidP="00476194">
      <w:pPr>
        <w:numPr>
          <w:ilvl w:val="0"/>
          <w:numId w:val="7"/>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Keep the clubhouse tidy. Wash &amp; dry crockery &amp; cutlery if used. Dispose of rubbish or food waste. Return furniture to its original position if moved. </w:t>
      </w:r>
    </w:p>
    <w:p w14:paraId="28982EDF" w14:textId="696636A8" w:rsidR="00E869EC" w:rsidRPr="00E869EC" w:rsidRDefault="00E869EC" w:rsidP="00E869EC">
      <w:pPr>
        <w:numPr>
          <w:ilvl w:val="0"/>
          <w:numId w:val="7"/>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Empty cans, old tennis balls or other items of rubbish should be removed from the court when play has finished.</w:t>
      </w:r>
    </w:p>
    <w:p w14:paraId="714AE20C" w14:textId="77777777" w:rsidR="00E869EC" w:rsidRPr="00476194" w:rsidRDefault="00E869EC" w:rsidP="00E869EC">
      <w:pPr>
        <w:numPr>
          <w:ilvl w:val="0"/>
          <w:numId w:val="7"/>
        </w:numPr>
        <w:textAlignment w:val="baseline"/>
        <w:rPr>
          <w:rFonts w:ascii="Arial" w:eastAsia="Times New Roman" w:hAnsi="Arial" w:cs="Arial"/>
          <w:color w:val="000000"/>
          <w:sz w:val="20"/>
          <w:szCs w:val="20"/>
          <w:lang w:eastAsia="en-GB"/>
        </w:rPr>
      </w:pPr>
      <w:r w:rsidRPr="00E869EC">
        <w:rPr>
          <w:rFonts w:ascii="Calibri" w:eastAsia="Times New Roman" w:hAnsi="Calibri" w:cs="Calibri"/>
          <w:color w:val="000000"/>
          <w:lang w:eastAsia="en-GB"/>
        </w:rPr>
        <w:t>Rubbish should be disposed of in the bins outside or inside the Clubhouse.</w:t>
      </w:r>
    </w:p>
    <w:p w14:paraId="3BDEA65D" w14:textId="77777777" w:rsidR="00476194" w:rsidRPr="00E869EC" w:rsidRDefault="00476194" w:rsidP="00476194">
      <w:pPr>
        <w:ind w:left="720"/>
        <w:textAlignment w:val="baseline"/>
        <w:rPr>
          <w:rFonts w:ascii="Arial" w:eastAsia="Times New Roman" w:hAnsi="Arial" w:cs="Arial"/>
          <w:color w:val="000000"/>
          <w:sz w:val="20"/>
          <w:szCs w:val="20"/>
          <w:lang w:eastAsia="en-GB"/>
        </w:rPr>
      </w:pPr>
    </w:p>
    <w:p w14:paraId="7A818A4D"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b/>
          <w:bCs/>
          <w:color w:val="000000"/>
          <w:sz w:val="28"/>
          <w:szCs w:val="28"/>
          <w:lang w:eastAsia="en-GB"/>
        </w:rPr>
        <w:t>Thank You - Tring Lawn Tennis Club Committee</w:t>
      </w:r>
    </w:p>
    <w:p w14:paraId="56A39E9D" w14:textId="77777777" w:rsidR="00E869EC" w:rsidRPr="00E869EC" w:rsidRDefault="00E869EC" w:rsidP="00E869EC">
      <w:pPr>
        <w:spacing w:after="0"/>
        <w:rPr>
          <w:rFonts w:ascii="Times New Roman" w:eastAsia="Times New Roman" w:hAnsi="Times New Roman" w:cs="Times New Roman"/>
          <w:sz w:val="24"/>
          <w:szCs w:val="24"/>
          <w:lang w:eastAsia="en-GB"/>
        </w:rPr>
      </w:pPr>
    </w:p>
    <w:p w14:paraId="5E08C393" w14:textId="77777777" w:rsidR="00E869EC" w:rsidRPr="00E869EC" w:rsidRDefault="00E869EC" w:rsidP="00E869EC">
      <w:pPr>
        <w:rPr>
          <w:rFonts w:ascii="Times New Roman" w:eastAsia="Times New Roman" w:hAnsi="Times New Roman" w:cs="Times New Roman"/>
          <w:sz w:val="24"/>
          <w:szCs w:val="24"/>
          <w:lang w:eastAsia="en-GB"/>
        </w:rPr>
      </w:pPr>
      <w:r w:rsidRPr="00E869EC">
        <w:rPr>
          <w:rFonts w:ascii="Calibri" w:eastAsia="Times New Roman" w:hAnsi="Calibri" w:cs="Calibri"/>
          <w:color w:val="000000"/>
          <w:lang w:eastAsia="en-GB"/>
        </w:rPr>
        <w:t>Club Committee Chairman</w:t>
      </w:r>
      <w:r w:rsidRPr="00E869EC">
        <w:rPr>
          <w:rFonts w:ascii="Calibri" w:eastAsia="Times New Roman" w:hAnsi="Calibri" w:cs="Calibri"/>
          <w:color w:val="000000"/>
          <w:lang w:eastAsia="en-GB"/>
        </w:rPr>
        <w:tab/>
      </w:r>
      <w:r w:rsidRPr="00E869EC">
        <w:rPr>
          <w:rFonts w:ascii="Calibri" w:eastAsia="Times New Roman" w:hAnsi="Calibri" w:cs="Calibri"/>
          <w:color w:val="000000"/>
          <w:lang w:eastAsia="en-GB"/>
        </w:rPr>
        <w:tab/>
      </w:r>
      <w:r w:rsidRPr="00E869EC">
        <w:rPr>
          <w:rFonts w:ascii="Calibri" w:eastAsia="Times New Roman" w:hAnsi="Calibri" w:cs="Calibri"/>
          <w:color w:val="000000"/>
          <w:lang w:eastAsia="en-GB"/>
        </w:rPr>
        <w:tab/>
      </w:r>
      <w:r w:rsidRPr="00E869EC">
        <w:rPr>
          <w:rFonts w:ascii="Calibri" w:eastAsia="Times New Roman" w:hAnsi="Calibri" w:cs="Calibri"/>
          <w:color w:val="000000"/>
          <w:lang w:eastAsia="en-GB"/>
        </w:rPr>
        <w:tab/>
      </w:r>
      <w:r w:rsidRPr="00E869EC">
        <w:rPr>
          <w:rFonts w:ascii="Calibri" w:eastAsia="Times New Roman" w:hAnsi="Calibri" w:cs="Calibri"/>
          <w:color w:val="000000"/>
          <w:lang w:eastAsia="en-GB"/>
        </w:rPr>
        <w:tab/>
      </w:r>
      <w:r w:rsidRPr="00E869EC">
        <w:rPr>
          <w:rFonts w:ascii="Calibri" w:eastAsia="Times New Roman" w:hAnsi="Calibri" w:cs="Calibri"/>
          <w:color w:val="000000"/>
          <w:lang w:eastAsia="en-GB"/>
        </w:rPr>
        <w:tab/>
        <w:t>Welfare Officer</w:t>
      </w:r>
    </w:p>
    <w:p w14:paraId="1143D6BE" w14:textId="2E8289E4" w:rsidR="00E869EC" w:rsidRPr="00E869EC" w:rsidRDefault="00E869EC" w:rsidP="00E869EC">
      <w:pPr>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John Osborn</w:t>
      </w:r>
      <w:r w:rsidR="00786E23">
        <w:rPr>
          <w:rFonts w:ascii="Calibri" w:eastAsia="Times New Roman" w:hAnsi="Calibri" w:cs="Calibri"/>
          <w:color w:val="000000"/>
          <w:lang w:eastAsia="en-GB"/>
        </w:rPr>
        <w:t>e</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sidR="00786E23">
        <w:rPr>
          <w:rFonts w:ascii="Calibri" w:eastAsia="Times New Roman" w:hAnsi="Calibri" w:cs="Calibri"/>
          <w:color w:val="000000"/>
          <w:lang w:eastAsia="en-GB"/>
        </w:rPr>
        <w:t>Jacek Brant</w:t>
      </w:r>
    </w:p>
    <w:p w14:paraId="0712CF27" w14:textId="613A550D" w:rsidR="00DB5519" w:rsidRDefault="00DB5519"/>
    <w:sectPr w:rsidR="00DB5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0F67"/>
    <w:multiLevelType w:val="multilevel"/>
    <w:tmpl w:val="1A50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94A0D"/>
    <w:multiLevelType w:val="multilevel"/>
    <w:tmpl w:val="132C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23A73"/>
    <w:multiLevelType w:val="multilevel"/>
    <w:tmpl w:val="26E8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651C3"/>
    <w:multiLevelType w:val="multilevel"/>
    <w:tmpl w:val="C936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D6A26"/>
    <w:multiLevelType w:val="multilevel"/>
    <w:tmpl w:val="F9C2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7A0592"/>
    <w:multiLevelType w:val="multilevel"/>
    <w:tmpl w:val="DBA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6945AC"/>
    <w:multiLevelType w:val="multilevel"/>
    <w:tmpl w:val="528A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175854">
    <w:abstractNumId w:val="3"/>
  </w:num>
  <w:num w:numId="2" w16cid:durableId="16934691">
    <w:abstractNumId w:val="6"/>
  </w:num>
  <w:num w:numId="3" w16cid:durableId="289096978">
    <w:abstractNumId w:val="2"/>
  </w:num>
  <w:num w:numId="4" w16cid:durableId="681468069">
    <w:abstractNumId w:val="5"/>
  </w:num>
  <w:num w:numId="5" w16cid:durableId="232158777">
    <w:abstractNumId w:val="1"/>
  </w:num>
  <w:num w:numId="6" w16cid:durableId="1475292076">
    <w:abstractNumId w:val="0"/>
  </w:num>
  <w:num w:numId="7" w16cid:durableId="266234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EC"/>
    <w:rsid w:val="00111D1A"/>
    <w:rsid w:val="001F2E87"/>
    <w:rsid w:val="00214F2B"/>
    <w:rsid w:val="002C0933"/>
    <w:rsid w:val="002F1914"/>
    <w:rsid w:val="0035744E"/>
    <w:rsid w:val="00476194"/>
    <w:rsid w:val="004D52BB"/>
    <w:rsid w:val="005054FA"/>
    <w:rsid w:val="006079D5"/>
    <w:rsid w:val="00673CD5"/>
    <w:rsid w:val="00786E23"/>
    <w:rsid w:val="007E06CF"/>
    <w:rsid w:val="008B5A55"/>
    <w:rsid w:val="00A622D4"/>
    <w:rsid w:val="00B820C4"/>
    <w:rsid w:val="00D05055"/>
    <w:rsid w:val="00D6718A"/>
    <w:rsid w:val="00DB5519"/>
    <w:rsid w:val="00E86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45EC"/>
  <w15:chartTrackingRefBased/>
  <w15:docId w15:val="{ABAFCEC8-1383-4CF1-8AF9-DBD22857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9E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E86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2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3302</Characters>
  <Application>Microsoft Office Word</Application>
  <DocSecurity>0</DocSecurity>
  <Lines>27</Lines>
  <Paragraphs>7</Paragraphs>
  <ScaleCrop>false</ScaleCrop>
  <Company>The Grange School</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BRIGHT</dc:creator>
  <cp:keywords/>
  <dc:description/>
  <cp:lastModifiedBy>Michael Burbidge</cp:lastModifiedBy>
  <cp:revision>3</cp:revision>
  <dcterms:created xsi:type="dcterms:W3CDTF">2025-02-21T17:07:00Z</dcterms:created>
  <dcterms:modified xsi:type="dcterms:W3CDTF">2025-02-21T17:07:00Z</dcterms:modified>
</cp:coreProperties>
</file>